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80645</wp:posOffset>
            </wp:positionH>
            <wp:positionV relativeFrom="paragraph">
              <wp:posOffset>-1032510</wp:posOffset>
            </wp:positionV>
            <wp:extent cx="1936750" cy="48133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065" w:right="1031" w:gutter="0" w:header="0" w:top="2223" w:footer="720" w:bottom="107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Title"/>
        <w:rPr>
          <w:sz w:val="28"/>
          <w:szCs w:val="28"/>
        </w:rPr>
      </w:pPr>
      <w:r>
        <w:rPr>
          <w:sz w:val="28"/>
          <w:szCs w:val="28"/>
        </w:rPr>
        <w:t>ANNEXE A : Formulaire de demande d’intégration des données hors RESIF dans RESIF pour distribution par le centre de données RESIF-DC</w:t>
      </w:r>
    </w:p>
    <w:p>
      <w:pPr>
        <w:pStyle w:val="Subtitle"/>
        <w:rPr/>
      </w:pPr>
      <w:r>
        <w:rPr/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Arial Black" w:cs="Arial Black"/>
          <w:color w:val="0000FF"/>
          <w:sz w:val="32"/>
          <w:szCs w:val="32"/>
        </w:rPr>
      </w:pPr>
      <w:r>
        <w:rPr>
          <w:rFonts w:eastAsia="Arial Black" w:cs="Arial Black" w:ascii="Arial Black" w:hAnsi="Arial Black"/>
          <w:color w:val="0000FF"/>
          <w:sz w:val="32"/>
          <w:szCs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93" w:type="dxa"/>
        <w:jc w:val="left"/>
        <w:tblInd w:w="-18" w:type="dxa"/>
        <w:tblLayout w:type="fixed"/>
        <w:tblCellMar>
          <w:top w:w="0" w:type="dxa"/>
          <w:left w:w="65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44"/>
        <w:gridCol w:w="8148"/>
      </w:tblGrid>
      <w:tr>
        <w:trPr>
          <w:trHeight w:val="340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  <w:lang w:val="en-US"/>
              </w:rPr>
              <w:t>Objectifs du documents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Ce document contient le formulaire annexé au document : Conditions d’intégrations des données hors RESIF dans RESIF pour distribution par le centre de données RESIF-DC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23" w:type="dxa"/>
        <w:jc w:val="left"/>
        <w:tblInd w:w="-43" w:type="dxa"/>
        <w:tblLayout w:type="fixed"/>
        <w:tblCellMar>
          <w:top w:w="0" w:type="dxa"/>
          <w:left w:w="65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83"/>
        <w:gridCol w:w="8139"/>
      </w:tblGrid>
      <w:tr>
        <w:trPr>
          <w:trHeight w:val="340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  <w:lang w:val="en-US"/>
              </w:rPr>
              <w:t>Date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 avril 2019</w:t>
            </w:r>
          </w:p>
        </w:tc>
      </w:tr>
      <w:tr>
        <w:trPr>
          <w:trHeight w:val="340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  <w:lang w:val="en-US"/>
              </w:rPr>
              <w:t>Référence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RESIF-SI-INTEGRATION-DONNEES-HORS-RESIF-ANNEXEA.V1</w:t>
            </w:r>
          </w:p>
        </w:tc>
      </w:tr>
      <w:tr>
        <w:trPr>
          <w:trHeight w:val="340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  <w:lang w:val="en-US"/>
              </w:rPr>
              <w:t>Dépôt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0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  <w:lang w:val="en-US"/>
              </w:rPr>
              <w:t>Statut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/>
            </w:pPr>
            <w:r>
              <w:rPr>
                <w:color w:val="000000"/>
                <w:sz w:val="22"/>
                <w:szCs w:val="22"/>
                <w:lang w:val="en-US"/>
              </w:rPr>
              <w:t>Version 2.0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23" w:type="dxa"/>
        <w:jc w:val="left"/>
        <w:tblInd w:w="-43" w:type="dxa"/>
        <w:tblLayout w:type="fixed"/>
        <w:tblCellMar>
          <w:top w:w="0" w:type="dxa"/>
          <w:left w:w="65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93"/>
        <w:gridCol w:w="3415"/>
        <w:gridCol w:w="3415"/>
      </w:tblGrid>
      <w:tr>
        <w:trPr>
          <w:trHeight w:val="340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  <w:lang w:val="en-US"/>
              </w:rPr>
              <w:t>Auteurs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Laurent  Stehly, COPIL RESIF-SI</w:t>
            </w:r>
          </w:p>
        </w:tc>
      </w:tr>
      <w:tr>
        <w:trPr>
          <w:trHeight w:val="400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  <w:lang w:val="en-US"/>
              </w:rPr>
              <w:t>Historique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2019/04/08</w:t>
            </w:r>
          </w:p>
        </w:tc>
      </w:tr>
      <w:tr>
        <w:trPr>
          <w:trHeight w:val="400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  <w:lang w:val="en-US"/>
              </w:rPr>
              <w:t>Prochaine révision mineure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2019.Q4</w:t>
            </w:r>
          </w:p>
        </w:tc>
      </w:tr>
      <w:tr>
        <w:trPr>
          <w:trHeight w:val="400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bookmarkStart w:id="2" w:name="__DdeLink__1597_3799672924"/>
            <w:r>
              <w:rPr>
                <w:b/>
                <w:color w:val="006699"/>
                <w:sz w:val="22"/>
                <w:szCs w:val="22"/>
                <w:lang w:val="en-US"/>
              </w:rPr>
              <w:t>Prochaine révision majeure</w:t>
            </w:r>
            <w:bookmarkEnd w:id="2"/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2020.Q2</w:t>
            </w:r>
          </w:p>
        </w:tc>
      </w:tr>
      <w:tr>
        <w:trPr>
          <w:trHeight w:val="400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/>
            </w:pPr>
            <w:r>
              <w:rPr>
                <w:b/>
                <w:color w:val="006699"/>
                <w:sz w:val="22"/>
                <w:szCs w:val="22"/>
                <w:lang w:val="en-US"/>
              </w:rPr>
              <w:t>Derniere révision majeure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/>
            </w:pPr>
            <w:r>
              <w:rPr/>
              <w:t>2023.Q2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b/>
          <w:bCs/>
          <w:color w:val="CE181E"/>
          <w:sz w:val="22"/>
          <w:szCs w:val="22"/>
        </w:rPr>
      </w:pPr>
      <w:bookmarkStart w:id="3" w:name="__DdeLink__2949_2349038313"/>
      <w:r>
        <w:rPr>
          <w:b/>
          <w:bCs/>
          <w:color w:val="CE181E"/>
          <w:sz w:val="22"/>
          <w:szCs w:val="22"/>
        </w:rPr>
        <w:t>Toutes les lignes du tableau sont à remplir. Si certaines questions ne sont pas pertinentes pour votre demande mettez simplement N/A</w:t>
      </w:r>
      <w:bookmarkEnd w:id="3"/>
      <w:r>
        <w:rPr>
          <w:b/>
          <w:bCs/>
          <w:color w:val="CE181E"/>
          <w:sz w:val="22"/>
          <w:szCs w:val="22"/>
        </w:rPr>
        <w:t xml:space="preserve">. </w:t>
      </w:r>
    </w:p>
    <w:p>
      <w:pPr>
        <w:pStyle w:val="Normal"/>
        <w:rPr>
          <w:b/>
          <w:bCs/>
          <w:color w:val="CE181E"/>
          <w:sz w:val="22"/>
          <w:szCs w:val="22"/>
        </w:rPr>
      </w:pPr>
      <w:r>
        <w:rPr>
          <w:b/>
          <w:bCs/>
          <w:color w:val="CE181E"/>
          <w:sz w:val="22"/>
          <w:szCs w:val="22"/>
        </w:rPr>
        <w:t>Ne pas oubliez de remplir l’annexe B à la fin du document pour la mise en place du DOI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022" w:type="dxa"/>
        <w:jc w:val="left"/>
        <w:tblInd w:w="-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59"/>
        <w:gridCol w:w="4015"/>
        <w:gridCol w:w="2748"/>
      </w:tblGrid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</w:rPr>
              <w:t>Commentaires du SI</w:t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Généralités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l'instrument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Instituts impliqués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Porteur scientifique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Porteur technique le cas échéant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bookmarkStart w:id="4" w:name="__DdeLink__1599_3799672924"/>
            <w:r>
              <w:rPr>
                <w:sz w:val="20"/>
                <w:szCs w:val="20"/>
              </w:rPr>
              <w:t>Description brève des données à intégrer dans RESIF</w:t>
            </w:r>
            <w:bookmarkEnd w:id="4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99" w:val="clea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sz w:val="20"/>
                <w:szCs w:val="20"/>
              </w:rPr>
              <w:t>Nom de réseau</w:t>
            </w:r>
            <w:r>
              <w:rPr/>
              <w:t xml:space="preserve">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b w:val="false"/>
                <w:bCs w:val="false"/>
                <w:color w:val="C9211E"/>
                <w:sz w:val="20"/>
                <w:szCs w:val="20"/>
              </w:rPr>
              <w:t>Il faut utiliser des codes réseaux différents pour les données de nodes et les autres type de données</w:t>
            </w:r>
            <w:r>
              <w:rPr>
                <w:sz w:val="20"/>
                <w:szCs w:val="20"/>
              </w:rPr>
              <w:t xml:space="preserve">.  </w:t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Accord noeud A/projet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est obligatoire de prendre contact avec un nœud A avant de soumettre votre demande au COPIL-SI</w:t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Noeud A acceptant de prendre en charge la distribution des données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Accord du responsable scientifique du noeud A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 /Non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Accord du responsable technique du noeud A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bookmarkStart w:id="5" w:name="__DdeLink__2947_2349038313"/>
            <w:bookmarkStart w:id="6" w:name="__DdeLink__2945_2349038313"/>
            <w:r>
              <w:rPr>
                <w:sz w:val="20"/>
                <w:szCs w:val="20"/>
              </w:rPr>
              <w:t>Oui/Non</w:t>
            </w:r>
            <w:bookmarkEnd w:id="5"/>
            <w:bookmarkEnd w:id="6"/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Responsable de la construction des métadonnées 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Responsable de la mise en forme des données au format miniseed selon les normes RESIF et du contrôle de leur intégrité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à partir de laquelle le noeud A pense être en mesure de transmettre les données au noeud B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noeud A a t-il déjà testé l’intégration d’un échantillon des données ?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noeud A a-t-il déjà vérifié les métadonnées ?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sz w:val="20"/>
                <w:szCs w:val="20"/>
              </w:rPr>
              <w:t>Engagement du porteur scientifique à contrôler la distribution effective des données par le noeud B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00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</w:rPr>
              <w:t xml:space="preserve">Les données sont-elles aujourd'hui distribuées par un autre canal que RESIF ?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CC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Données temps réel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CC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Quantité actuelle de données par jour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CC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Canaux à intégrer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CC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Évolutions prévues du réseau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CC" w:val="clea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sz w:val="20"/>
                <w:szCs w:val="20"/>
              </w:rPr>
              <w:t>Métadonnées disponibles pour données actuelles au format station XML ?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FF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Données anciennes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FF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(canaux) des données anciennes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FF" w:val="clea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sz w:val="20"/>
                <w:szCs w:val="20"/>
              </w:rPr>
              <w:t>Début / Fin des données anciennes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FF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Quantité des données anciennes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FF" w:val="clea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sz w:val="20"/>
                <w:szCs w:val="20"/>
              </w:rPr>
              <w:t>Métadonnées disponibles pour les données anciennes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FF" w:val="clea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sz w:val="20"/>
                <w:szCs w:val="20"/>
              </w:rPr>
              <w:t>Si donnée de nodes, les données sont elle en count ou en unité physique ?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Count / unité physique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99FFCC" w:val="clea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 xml:space="preserve">onnées futures non temps réel, données validées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99FFCC" w:val="clea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sz w:val="20"/>
                <w:szCs w:val="20"/>
              </w:rPr>
              <w:t>Canaux à intégrer (si différent des données temps réels)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color="auto" w:fill="99FFCC" w:val="clear"/>
          </w:tcPr>
          <w:p>
            <w:pPr>
              <w:pStyle w:val="BodyText"/>
              <w:spacing w:lineRule="auto" w:line="276" w:before="0" w:after="140"/>
              <w:rPr/>
            </w:pPr>
            <w:bookmarkStart w:id="7" w:name="__DdeLink__1601_3799672924"/>
            <w:r>
              <w:rPr>
                <w:sz w:val="20"/>
                <w:szCs w:val="20"/>
              </w:rPr>
              <w:t>Quantité de données</w:t>
            </w:r>
            <w:bookmarkEnd w:id="7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color="auto" w:fill="99FFCC" w:val="clear"/>
          </w:tcPr>
          <w:p>
            <w:pPr>
              <w:pStyle w:val="BodyText"/>
              <w:spacing w:lineRule="auto" w:line="276" w:before="0" w:after="140"/>
              <w:rPr/>
            </w:pPr>
            <w:r>
              <w:rPr>
                <w:sz w:val="20"/>
                <w:szCs w:val="20"/>
              </w:rPr>
              <w:t xml:space="preserve">Intervalle de temps entre deux livraisons de données non temps réel : 1.x semaine ? 1X mois ? Autres ? </w:t>
            </w:r>
          </w:p>
        </w:tc>
        <w:tc>
          <w:tcPr>
            <w:tcW w:w="4015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before="0" w:after="140"/>
              <w:rPr/>
            </w:pPr>
            <w:r>
              <w:rPr>
                <w:color w:val="000000"/>
                <w:sz w:val="20"/>
                <w:szCs w:val="20"/>
              </w:rPr>
              <w:t xml:space="preserve">Les données sont-elles déjà associées à un DOI ? Si non le porteur souhaite t-il que le DOI soit crée par RESIF (vivement recommandé)? Ou préfère t-il le créer lui meme ? Dans tous les cas le DOI devra etre crée avant le début de la distribution des données </w:t>
            </w:r>
          </w:p>
        </w:tc>
        <w:tc>
          <w:tcPr>
            <w:tcW w:w="4015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2748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 des producteur de données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CCFF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porteur du projet est-il d’accord pour que les données soient distribuées sans période de rétention 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Oui/Non</w:t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CC99" w:val="clear"/>
          </w:tcPr>
          <w:p>
            <w:pPr>
              <w:pStyle w:val="BodyText"/>
              <w:spacing w:lineRule="auto" w:line="276"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commentaires</w:t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BodyText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keepNext w:val="true"/>
        <w:widowControl/>
        <w:spacing w:before="240" w:after="120"/>
        <w:rPr>
          <w:color w:val="1155CC"/>
          <w:sz w:val="22"/>
          <w:szCs w:val="22"/>
          <w:u w:val="single"/>
        </w:rPr>
      </w:pPr>
      <w:r>
        <w:rPr>
          <w:color w:val="1155CC"/>
          <w:sz w:val="22"/>
          <w:szCs w:val="22"/>
          <w:u w:val="single"/>
        </w:rPr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pStyle w:val="Normal"/>
        <w:widowControl/>
        <w:jc w:val="left"/>
        <w:rPr>
          <w:b/>
          <w:color w:val="CE181E"/>
          <w:sz w:val="28"/>
          <w:szCs w:val="28"/>
        </w:rPr>
      </w:pPr>
      <w:r>
        <w:rPr>
          <w:b/>
          <w:color w:val="CE181E"/>
          <w:sz w:val="28"/>
          <w:szCs w:val="28"/>
        </w:rPr>
        <w:t>Ce n’est pas encore fini : Ne pas oublier de remplir l’annexe B également p6 à la fin du document</w:t>
      </w:r>
      <w:r>
        <w:br w:type="page"/>
      </w:r>
    </w:p>
    <w:p>
      <w:pPr>
        <w:pStyle w:val="Title"/>
        <w:spacing w:before="0" w:after="3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rPr>
          <w:sz w:val="28"/>
          <w:szCs w:val="28"/>
        </w:rPr>
      </w:pPr>
      <w:r>
        <w:rPr>
          <w:sz w:val="28"/>
          <w:szCs w:val="28"/>
        </w:rPr>
        <w:t>ANNEXE B : mise en place d’un DOI</w:t>
      </w:r>
    </w:p>
    <w:p>
      <w:pPr>
        <w:pStyle w:val="Subtitle"/>
        <w:rPr/>
      </w:pPr>
      <w:r>
        <w:rPr/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Arial Black" w:cs="Arial Black"/>
          <w:color w:val="0000FF"/>
          <w:sz w:val="32"/>
          <w:szCs w:val="32"/>
        </w:rPr>
      </w:pPr>
      <w:r>
        <w:rPr>
          <w:rFonts w:eastAsia="Arial Black" w:cs="Arial Black" w:ascii="Arial Black" w:hAnsi="Arial Black"/>
          <w:color w:val="0000FF"/>
          <w:sz w:val="32"/>
          <w:szCs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93" w:type="dxa"/>
        <w:jc w:val="left"/>
        <w:tblInd w:w="-18" w:type="dxa"/>
        <w:tblLayout w:type="fixed"/>
        <w:tblCellMar>
          <w:top w:w="0" w:type="dxa"/>
          <w:left w:w="65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44"/>
        <w:gridCol w:w="8148"/>
      </w:tblGrid>
      <w:tr>
        <w:trPr>
          <w:trHeight w:val="340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</w:rPr>
              <w:t>Objectifs du documents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Ce document contient le formulaire DOI annexé au document : Conditions d’intégrations des données hors RESIF dans RESIF pour distribution par le centre de données RESIF-DC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23" w:type="dxa"/>
        <w:jc w:val="left"/>
        <w:tblInd w:w="-43" w:type="dxa"/>
        <w:tblLayout w:type="fixed"/>
        <w:tblCellMar>
          <w:top w:w="0" w:type="dxa"/>
          <w:left w:w="65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86"/>
        <w:gridCol w:w="8136"/>
      </w:tblGrid>
      <w:tr>
        <w:trPr>
          <w:trHeight w:val="34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</w:rPr>
              <w:t>Date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avril 2019</w:t>
            </w:r>
          </w:p>
        </w:tc>
      </w:tr>
      <w:tr>
        <w:trPr>
          <w:trHeight w:val="34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</w:rPr>
              <w:t>Référence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RESIF-SI-INTEGRATION-DONNEES-HORS-RESIF-ANNEXEBV1</w:t>
            </w:r>
          </w:p>
        </w:tc>
      </w:tr>
      <w:tr>
        <w:trPr>
          <w:trHeight w:val="34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</w:rPr>
              <w:t>Dépôt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</w:rPr>
              <w:t>Statut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Version initiale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23" w:type="dxa"/>
        <w:jc w:val="left"/>
        <w:tblInd w:w="-43" w:type="dxa"/>
        <w:tblLayout w:type="fixed"/>
        <w:tblCellMar>
          <w:top w:w="0" w:type="dxa"/>
          <w:left w:w="65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93"/>
        <w:gridCol w:w="3415"/>
        <w:gridCol w:w="3415"/>
      </w:tblGrid>
      <w:tr>
        <w:trPr>
          <w:trHeight w:val="340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</w:rPr>
              <w:t>Auteurs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Laurent  Stehly, COPIL RESIF-SI</w:t>
            </w:r>
          </w:p>
        </w:tc>
      </w:tr>
      <w:tr>
        <w:trPr>
          <w:trHeight w:val="400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</w:rPr>
              <w:t>Historique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2019/04/08</w:t>
            </w:r>
          </w:p>
        </w:tc>
      </w:tr>
      <w:tr>
        <w:trPr>
          <w:trHeight w:val="400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</w:rPr>
              <w:t>Prochaine révision mineure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2019.Q4</w:t>
            </w:r>
          </w:p>
        </w:tc>
      </w:tr>
      <w:tr>
        <w:trPr>
          <w:trHeight w:val="400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b/>
                <w:color w:val="006699"/>
                <w:sz w:val="22"/>
                <w:szCs w:val="22"/>
              </w:rPr>
            </w:pPr>
            <w:r>
              <w:rPr>
                <w:b/>
                <w:color w:val="006699"/>
                <w:sz w:val="22"/>
                <w:szCs w:val="22"/>
              </w:rPr>
              <w:t>Prochaine révision majeure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132" w:leader="none"/>
              </w:tabs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2020.Q2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8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904"/>
        <w:gridCol w:w="4905"/>
      </w:tblGrid>
      <w:tr>
        <w:trPr/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Prénom et Nom des responsables du réseau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/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TOUS les instituts des opérateurs qui sont allés et/ou iront sur le terrain (complètement, et pas seulement les abbréviations). Ne pas regroupper les intitulés en cas de bi-appartenance.</w:t>
            </w:r>
          </w:p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Figureront dans le DOI en tant que 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DataCollector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/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TOUS les organismes financeurs (complètement, et pas seulement les abbréviations). Figureront dans le DOI en tant que 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Sponsor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/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Les instituts d’appartenance des agents qui ont mis en forme les données et les métadonnées</w:t>
            </w:r>
          </w:p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Figureront dans le DOI en tant que 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DataCurator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/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mots clé</w:t>
            </w:r>
            <w:r>
              <w:rPr>
                <w:rFonts w:ascii="Liberation Serif" w:hAnsi="Liberation Serif"/>
                <w:color w:val="000000"/>
              </w:rPr>
              <w:t xml:space="preserve"> qui caractérisent le dataset (en anglais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/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DOi</w:t>
            </w:r>
            <w:r>
              <w:rPr>
                <w:rFonts w:ascii="Liberation Serif" w:hAnsi="Liberation Serif"/>
                <w:color w:val="000000"/>
              </w:rPr>
              <w:t xml:space="preserve"> des articles qui font référence aux données. A défaut, 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citation</w:t>
            </w:r>
            <w:r>
              <w:rPr>
                <w:rFonts w:ascii="Liberation Serif" w:hAnsi="Liberation Serif"/>
                <w:color w:val="000000"/>
              </w:rPr>
              <w:t xml:space="preserve"> des articles qui font référence aux données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/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La 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description</w:t>
            </w:r>
            <w:r>
              <w:rPr>
                <w:rFonts w:ascii="Liberation Serif" w:hAnsi="Liberation Serif"/>
                <w:color w:val="000000"/>
              </w:rPr>
              <w:t xml:space="preserve"> de la campagne.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</w:tbl>
    <w:p>
      <w:pPr>
        <w:pStyle w:val="Normal"/>
        <w:keepNext w:val="true"/>
        <w:widowControl/>
        <w:spacing w:before="240" w:after="120"/>
        <w:rPr>
          <w:color w:val="1155CC"/>
          <w:sz w:val="22"/>
          <w:szCs w:val="22"/>
          <w:u w:val="single"/>
        </w:rPr>
      </w:pPr>
      <w:r>
        <w:rPr>
          <w:color w:val="1155CC"/>
          <w:sz w:val="22"/>
          <w:szCs w:val="22"/>
          <w:u w:val="single"/>
        </w:rPr>
      </w:r>
    </w:p>
    <w:p>
      <w:pPr>
        <w:pStyle w:val="Normal"/>
        <w:widowControl/>
        <w:spacing w:before="240" w:after="120"/>
        <w:rPr>
          <w:color w:val="1155CC"/>
          <w:sz w:val="22"/>
          <w:szCs w:val="22"/>
          <w:u w:val="single"/>
        </w:rPr>
      </w:pPr>
      <w:r>
        <w:rPr>
          <w:color w:val="1155CC"/>
          <w:sz w:val="22"/>
          <w:szCs w:val="22"/>
          <w:u w:val="single"/>
        </w:rPr>
      </w:r>
    </w:p>
    <w:p>
      <w:pPr>
        <w:pStyle w:val="BodyText"/>
        <w:rPr/>
      </w:pPr>
      <w:r>
        <w:rPr/>
        <w:t xml:space="preserve">Des exemples de DOI pour les réseau RESIF sont accessibles sur le portail RESIF : </w:t>
      </w:r>
      <w:r>
        <w:fldChar w:fldCharType="begin"/>
      </w:r>
      <w:r>
        <w:rPr>
          <w:rStyle w:val="Hyperlink"/>
        </w:rPr>
        <w:instrText xml:space="preserve"> HYPERLINK "http://seismology.resif.fr/" \l "CMSConsultPlace:DOI_INVENTORY"</w:instrText>
      </w:r>
      <w:r>
        <w:rPr>
          <w:rStyle w:val="Hyperlink"/>
        </w:rPr>
        <w:fldChar w:fldCharType="separate"/>
      </w:r>
      <w:r>
        <w:rPr>
          <w:rStyle w:val="Hyperlink"/>
        </w:rPr>
        <w:t>http://seismology.resif.fr/#CMSConsultPlace:DOI_INVENTORY</w:t>
      </w:r>
      <w:r>
        <w:rPr>
          <w:rStyle w:val="Hyperlink"/>
        </w:rPr>
        <w:fldChar w:fldCharType="end"/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065" w:right="1031" w:gutter="0" w:header="0" w:top="2223" w:footer="720" w:bottom="1073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065" w:right="1031" w:gutter="0" w:header="0" w:top="2223" w:footer="720" w:bottom="1073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Cambria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Times New Roman">
    <w:charset w:val="01"/>
    <w:family w:val="roman"/>
    <w:pitch w:val="variable"/>
  </w:font>
  <w:font w:name="Arial Black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536" w:leader="none"/>
        <w:tab w:val="right" w:pos="9072" w:leader="none"/>
      </w:tabs>
      <w:jc w:val="center"/>
      <w:rPr>
        <w:color w:val="006699"/>
        <w:sz w:val="20"/>
        <w:szCs w:val="20"/>
      </w:rPr>
    </w:pPr>
    <w:r>
      <w:rPr>
        <w:color w:val="006699"/>
        <w:sz w:val="20"/>
        <w:szCs w:val="20"/>
      </w:rPr>
      <w:t xml:space="preserve"> </w:t>
    </w:r>
    <w:r>
      <w:rPr>
        <w:color w:val="006699"/>
        <w:sz w:val="20"/>
        <w:szCs w:val="20"/>
      </w:rPr>
      <w:t>Conditions d’intégration des données hors RESIF au centre de données RESIF-DC</w:t>
    </w:r>
  </w:p>
  <w:p>
    <w:pPr>
      <w:pStyle w:val="Normal"/>
      <w:widowControl/>
      <w:tabs>
        <w:tab w:val="clear" w:pos="720"/>
        <w:tab w:val="center" w:pos="4536" w:leader="none"/>
        <w:tab w:val="right" w:pos="9072" w:leader="none"/>
      </w:tabs>
      <w:spacing w:before="0" w:after="443"/>
      <w:jc w:val="center"/>
      <w:rPr/>
    </w:pPr>
    <w:r>
      <w:rPr>
        <w:rFonts w:eastAsia="Times New Roman" w:cs="Times New Roman" w:ascii="Times New Roman" w:hAnsi="Times New Roman"/>
        <w:color w:val="000000"/>
      </w:rPr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r>
      <w:rPr>
        <w:color w:val="000000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708" w:after="0"/>
      <w:jc w:val="left"/>
      <w:rPr/>
    </w:pPr>
    <w:r>
      <w:rPr/>
    </w:r>
  </w:p>
  <w:tbl>
    <w:tblPr>
      <w:tblW w:w="9932" w:type="dxa"/>
      <w:jc w:val="left"/>
      <w:tblInd w:w="-5" w:type="dxa"/>
      <w:tblLayout w:type="fixed"/>
      <w:tblCellMar>
        <w:top w:w="0" w:type="dxa"/>
        <w:left w:w="107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3310"/>
      <w:gridCol w:w="3306"/>
      <w:gridCol w:w="3316"/>
    </w:tblGrid>
    <w:tr>
      <w:trPr>
        <w:trHeight w:val="740" w:hRule="atLeast"/>
      </w:trPr>
      <w:tc>
        <w:tcPr>
          <w:tcW w:w="33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FFFFFF" w:val="clear"/>
          <w:vAlign w:val="center"/>
        </w:tcPr>
        <w:p>
          <w:pPr>
            <w:pStyle w:val="Normal"/>
            <w:widowControl/>
            <w:tabs>
              <w:tab w:val="clear" w:pos="720"/>
              <w:tab w:val="center" w:pos="4536" w:leader="none"/>
              <w:tab w:val="right" w:pos="9072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align>center</wp:align>
                </wp:positionH>
                <wp:positionV relativeFrom="paragraph">
                  <wp:posOffset>283845</wp:posOffset>
                </wp:positionV>
                <wp:extent cx="1964055" cy="343535"/>
                <wp:effectExtent l="0" t="0" r="0" b="0"/>
                <wp:wrapSquare wrapText="larges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4055" cy="343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-5080</wp:posOffset>
                </wp:positionH>
                <wp:positionV relativeFrom="paragraph">
                  <wp:posOffset>121285</wp:posOffset>
                </wp:positionV>
                <wp:extent cx="2022475" cy="596900"/>
                <wp:effectExtent l="0" t="0" r="0" b="0"/>
                <wp:wrapSquare wrapText="largest"/>
                <wp:docPr id="3" name="Imag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2475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0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FFFFFF" w:val="clear"/>
          <w:vAlign w:val="center"/>
        </w:tcPr>
        <w:p>
          <w:pPr>
            <w:pStyle w:val="Normal"/>
            <w:widowControl/>
            <w:tabs>
              <w:tab w:val="clear" w:pos="720"/>
              <w:tab w:val="center" w:pos="4536" w:leader="none"/>
              <w:tab w:val="right" w:pos="9072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  <w:t>Intégration des données hors RESIF</w:t>
          </w:r>
        </w:p>
      </w:tc>
      <w:tc>
        <w:tcPr>
          <w:tcW w:w="33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FFFFFF" w:val="clear"/>
        </w:tcPr>
        <w:p>
          <w:pPr>
            <w:pStyle w:val="Normal"/>
            <w:widowControl/>
            <w:tabs>
              <w:tab w:val="clear" w:pos="720"/>
              <w:tab w:val="center" w:pos="4536" w:leader="none"/>
              <w:tab w:val="right" w:pos="9072" w:leader="none"/>
            </w:tabs>
            <w:rPr/>
          </w:pPr>
          <w:r>
            <w:rPr>
              <w:color w:val="000000"/>
            </w:rPr>
            <w:t>Version: 2.0</w:t>
          </w:r>
        </w:p>
      </w:tc>
    </w:tr>
    <w:tr>
      <w:trPr>
        <w:trHeight w:val="740" w:hRule="atLeast"/>
      </w:trPr>
      <w:tc>
        <w:tcPr>
          <w:tcW w:w="331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FFFFFF" w:val="clear"/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330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FFFFFF" w:val="clear"/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33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FFFFFF" w:val="clear"/>
        </w:tcPr>
        <w:p>
          <w:pPr>
            <w:pStyle w:val="Normal"/>
            <w:widowControl/>
            <w:tabs>
              <w:tab w:val="clear" w:pos="720"/>
              <w:tab w:val="center" w:pos="4536" w:leader="none"/>
              <w:tab w:val="right" w:pos="9072" w:leader="none"/>
            </w:tabs>
            <w:rPr>
              <w:color w:val="000000"/>
            </w:rPr>
          </w:pPr>
          <w:r>
            <w:rPr>
              <w:color w:val="000000"/>
            </w:rPr>
            <w:t>Créé le  2019/04/08</w:t>
          </w:r>
        </w:p>
      </w:tc>
    </w:tr>
  </w:tbl>
  <w:p>
    <w:pPr>
      <w:pStyle w:val="Heading2"/>
      <w:numPr>
        <w:ilvl w:val="1"/>
        <w:numId w:val="1"/>
      </w:numPr>
      <w:tabs>
        <w:tab w:val="clear" w:pos="720"/>
        <w:tab w:val="left" w:pos="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  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Heading"/>
    <w:next w:val="Normal"/>
    <w:qFormat/>
    <w:pPr>
      <w:widowControl/>
      <w:spacing w:before="480" w:after="0"/>
      <w:outlineLvl w:val="0"/>
    </w:pPr>
    <w:rPr>
      <w:rFonts w:ascii="Calibri" w:hAnsi="Calibri" w:eastAsia="Calibri" w:cs="Calibri"/>
      <w:b/>
      <w:color w:val="365F91"/>
    </w:rPr>
  </w:style>
  <w:style w:type="paragraph" w:styleId="Heading2">
    <w:name w:val="Heading 2"/>
    <w:basedOn w:val="Heading"/>
    <w:next w:val="Normal"/>
    <w:qFormat/>
    <w:pPr>
      <w:widowControl/>
      <w:spacing w:before="200" w:after="0"/>
      <w:outlineLvl w:val="1"/>
    </w:pPr>
    <w:rPr>
      <w:rFonts w:ascii="Calibri" w:hAnsi="Calibri" w:eastAsia="Calibri" w:cs="Calibri"/>
      <w:b/>
      <w:i/>
      <w:color w:val="4F81BD"/>
      <w:sz w:val="26"/>
      <w:szCs w:val="26"/>
    </w:rPr>
  </w:style>
  <w:style w:type="paragraph" w:styleId="Heading3">
    <w:name w:val="Heading 3"/>
    <w:basedOn w:val="Heading"/>
    <w:next w:val="Normal"/>
    <w:qFormat/>
    <w:pPr>
      <w:widowControl/>
      <w:spacing w:before="240" w:after="60"/>
      <w:ind w:hanging="224" w:left="224"/>
      <w:outlineLvl w:val="2"/>
    </w:pPr>
    <w:rPr>
      <w:rFonts w:ascii="Calibri" w:hAnsi="Calibri" w:eastAsia="Calibri" w:cs="Calibri"/>
      <w:b/>
      <w:color w:val="000000"/>
      <w:sz w:val="24"/>
      <w:szCs w:val="24"/>
    </w:rPr>
  </w:style>
  <w:style w:type="paragraph" w:styleId="Heading4">
    <w:name w:val="Heading 4"/>
    <w:basedOn w:val="Heading"/>
    <w:next w:val="Normal"/>
    <w:qFormat/>
    <w:pPr>
      <w:widowControl/>
      <w:spacing w:before="200" w:after="0"/>
      <w:outlineLvl w:val="3"/>
    </w:pPr>
    <w:rPr>
      <w:rFonts w:ascii="Cambria" w:hAnsi="Cambria" w:eastAsia="Cambria" w:cs="Cambria"/>
      <w:b/>
      <w:i/>
      <w:color w:val="4F81BD"/>
      <w:sz w:val="20"/>
      <w:szCs w:val="20"/>
    </w:rPr>
  </w:style>
  <w:style w:type="paragraph" w:styleId="Heading5">
    <w:name w:val="Heading 5"/>
    <w:basedOn w:val="Heading"/>
    <w:next w:val="Normal"/>
    <w:qFormat/>
    <w:pPr>
      <w:keepLines/>
      <w:spacing w:before="220" w:after="40"/>
      <w:jc w:val="left"/>
      <w:outlineLvl w:val="4"/>
    </w:pPr>
    <w:rPr>
      <w:rFonts w:ascii="Calibri" w:hAnsi="Calibri" w:eastAsia="Calibri" w:cs="Calibri"/>
      <w:b/>
      <w:sz w:val="22"/>
      <w:szCs w:val="22"/>
    </w:rPr>
  </w:style>
  <w:style w:type="paragraph" w:styleId="Heading6">
    <w:name w:val="Heading 6"/>
    <w:basedOn w:val="Heading"/>
    <w:next w:val="Normal"/>
    <w:qFormat/>
    <w:pPr>
      <w:keepLines/>
      <w:spacing w:before="200" w:after="40"/>
      <w:jc w:val="left"/>
      <w:outlineLvl w:val="5"/>
    </w:pPr>
    <w:rPr>
      <w:rFonts w:ascii="Calibri" w:hAnsi="Calibri" w:eastAsia="Calibri" w:cs="Calibri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IndexLink" w:customStyle="1">
    <w:name w:val="Index Link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LO-normal" w:customStyle="1">
    <w:name w:val="LO-normal"/>
    <w:qFormat/>
    <w:pPr>
      <w:widowControl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4"/>
      <w:szCs w:val="24"/>
      <w:lang w:val="fr-FR" w:eastAsia="zh-CN" w:bidi="hi-IN"/>
    </w:rPr>
  </w:style>
  <w:style w:type="paragraph" w:styleId="Title">
    <w:name w:val="Title"/>
    <w:basedOn w:val="LO-normal"/>
    <w:next w:val="Normal"/>
    <w:qFormat/>
    <w:pPr>
      <w:pBdr>
        <w:bottom w:val="single" w:sz="8" w:space="4" w:color="808080"/>
      </w:pBdr>
      <w:spacing w:before="0" w:after="300"/>
      <w:jc w:val="center"/>
    </w:pPr>
    <w:rPr>
      <w:b/>
      <w:color w:val="17365D"/>
      <w:sz w:val="18"/>
      <w:szCs w:val="18"/>
    </w:rPr>
  </w:style>
  <w:style w:type="paragraph" w:styleId="Subtitle">
    <w:name w:val="Subtitle"/>
    <w:basedOn w:val="LO-normal"/>
    <w:next w:val="Normal"/>
    <w:qFormat/>
    <w:pPr>
      <w:keepNext w:val="true"/>
      <w:spacing w:before="240" w:after="120"/>
      <w:jc w:val="center"/>
    </w:pPr>
    <w:rPr>
      <w:rFonts w:ascii="Helvetica Neue" w:hAnsi="Helvetica Neue" w:eastAsia="Helvetica Neue" w:cs="Helvetica Neue"/>
      <w:i/>
      <w:color w:val="000000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OC1">
    <w:name w:val="TOC 1"/>
    <w:basedOn w:val="Index"/>
    <w:pPr>
      <w:tabs>
        <w:tab w:val="clear" w:pos="720"/>
        <w:tab w:val="right" w:pos="9810" w:leader="dot"/>
      </w:tabs>
    </w:pPr>
    <w:rPr/>
  </w:style>
  <w:style w:type="paragraph" w:styleId="TOC2">
    <w:name w:val="TOC 2"/>
    <w:basedOn w:val="Index"/>
    <w:pPr>
      <w:tabs>
        <w:tab w:val="clear" w:pos="720"/>
        <w:tab w:val="right" w:pos="9527" w:leader="dot"/>
      </w:tabs>
      <w:ind w:hanging="0" w:left="283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umbering123" w:customStyle="1">
    <w:name w:val="Numbering 123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DD836BD3CA544B2A11DA646E20146" ma:contentTypeVersion="0" ma:contentTypeDescription="Crée un document." ma:contentTypeScope="" ma:versionID="22a54848cb142fb98c16577ea37851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C1E4-EA56-49EF-95DF-F76B9F23F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42E51-9CE1-4372-BEB9-28A85015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371DC-725B-420C-8227-7EE1F6F3B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LibreOffice/7.6.3.1$Linux_X86_64 LibreOffice_project/60$Build-1</Application>
  <AppVersion>15.0000</AppVersion>
  <DocSecurity>0</DocSecurity>
  <Pages>7</Pages>
  <Words>735</Words>
  <Characters>4008</Characters>
  <CharactersWithSpaces>4661</CharactersWithSpaces>
  <Paragraphs>114</Paragraphs>
  <Company>Université Grenoble Alpes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2023-06-08T07:47:00Z</dcterms:created>
  <dc:creator>pedershe</dc:creator>
  <dc:description/>
  <dc:language>fr-FR</dc:language>
  <cp:lastModifiedBy/>
  <cp:lastPrinted>2019-03-11T14:27:00Z</cp:lastPrinted>
  <dcterms:modified xsi:type="dcterms:W3CDTF">2024-10-09T14:49:09Z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0x0101004A5DD836BD3CA544B2A11DA646E20146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